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30"/>
          <w:szCs w:val="30"/>
        </w:rPr>
      </w:pPr>
      <w:r>
        <w:rPr>
          <w:rFonts w:hint="eastAsia" w:ascii="黑体" w:hAnsi="黑体" w:eastAsia="黑体"/>
          <w:sz w:val="30"/>
          <w:szCs w:val="30"/>
        </w:rPr>
        <w:t>2</w:t>
      </w:r>
      <w:r>
        <w:rPr>
          <w:rFonts w:ascii="黑体" w:hAnsi="黑体" w:eastAsia="黑体"/>
          <w:sz w:val="30"/>
          <w:szCs w:val="30"/>
        </w:rPr>
        <w:t>022</w:t>
      </w:r>
      <w:r>
        <w:rPr>
          <w:rFonts w:hint="eastAsia" w:ascii="黑体" w:hAnsi="黑体" w:eastAsia="黑体"/>
          <w:sz w:val="30"/>
          <w:szCs w:val="30"/>
        </w:rPr>
        <w:t>年</w:t>
      </w:r>
      <w:r>
        <w:rPr>
          <w:rFonts w:hint="eastAsia" w:ascii="黑体" w:hAnsi="黑体" w:eastAsia="黑体"/>
          <w:sz w:val="30"/>
          <w:szCs w:val="30"/>
          <w:lang w:val="en-US" w:eastAsia="zh-CN"/>
        </w:rPr>
        <w:t>天津仁爱学院</w:t>
      </w:r>
      <w:r>
        <w:rPr>
          <w:rFonts w:hint="eastAsia" w:ascii="黑体" w:hAnsi="黑体" w:eastAsia="黑体"/>
          <w:sz w:val="30"/>
          <w:szCs w:val="30"/>
        </w:rPr>
        <w:t>高职升本科</w:t>
      </w:r>
    </w:p>
    <w:p>
      <w:pPr>
        <w:widowControl/>
        <w:jc w:val="center"/>
        <w:rPr>
          <w:rFonts w:ascii="黑体" w:hAnsi="黑体" w:eastAsia="黑体"/>
          <w:sz w:val="30"/>
          <w:szCs w:val="30"/>
        </w:rPr>
      </w:pPr>
      <w:r>
        <w:rPr>
          <w:rFonts w:hint="eastAsia" w:ascii="黑体" w:hAnsi="黑体" w:eastAsia="黑体"/>
          <w:sz w:val="30"/>
          <w:szCs w:val="30"/>
        </w:rPr>
        <w:t>专业考试报名、确认缴费操作流程说明</w:t>
      </w:r>
    </w:p>
    <w:p>
      <w:pPr>
        <w:widowControl/>
        <w:ind w:firstLine="562" w:firstLineChars="200"/>
        <w:jc w:val="left"/>
        <w:rPr>
          <w:b/>
          <w:sz w:val="28"/>
          <w:szCs w:val="28"/>
        </w:rPr>
      </w:pPr>
      <w:r>
        <w:rPr>
          <w:rFonts w:hint="eastAsia"/>
          <w:b/>
          <w:sz w:val="28"/>
          <w:szCs w:val="28"/>
        </w:rPr>
        <w:t>一、报名操作流程</w:t>
      </w:r>
    </w:p>
    <w:p>
      <w:pPr>
        <w:widowControl/>
        <w:spacing w:line="440" w:lineRule="exact"/>
        <w:ind w:firstLine="562" w:firstLineChars="200"/>
        <w:jc w:val="left"/>
        <w:rPr>
          <w:rFonts w:hint="eastAsia" w:eastAsiaTheme="minorEastAsia"/>
          <w:b/>
          <w:sz w:val="28"/>
          <w:szCs w:val="28"/>
          <w:lang w:val="en-US" w:eastAsia="zh-CN"/>
        </w:rPr>
      </w:pPr>
      <w:r>
        <w:rPr>
          <w:b/>
          <w:sz w:val="28"/>
          <w:szCs w:val="28"/>
        </w:rPr>
        <w:t xml:space="preserve">1. </w:t>
      </w:r>
      <w:r>
        <w:rPr>
          <w:rFonts w:hint="eastAsia"/>
          <w:b/>
          <w:sz w:val="28"/>
          <w:szCs w:val="28"/>
        </w:rPr>
        <w:t>报名</w:t>
      </w:r>
      <w:r>
        <w:rPr>
          <w:rFonts w:hint="eastAsia"/>
          <w:b/>
          <w:sz w:val="28"/>
          <w:szCs w:val="28"/>
          <w:lang w:val="en-US" w:eastAsia="zh-CN"/>
        </w:rPr>
        <w:t>注册</w:t>
      </w:r>
    </w:p>
    <w:p>
      <w:pPr>
        <w:widowControl/>
        <w:spacing w:line="440" w:lineRule="exact"/>
        <w:ind w:firstLine="560" w:firstLineChars="200"/>
        <w:jc w:val="left"/>
        <w:rPr>
          <w:sz w:val="30"/>
          <w:szCs w:val="30"/>
        </w:rPr>
      </w:pPr>
      <w:r>
        <w:rPr>
          <w:rFonts w:hint="eastAsia"/>
          <w:sz w:val="28"/>
          <w:szCs w:val="28"/>
        </w:rPr>
        <w:t>请考生于2022年</w:t>
      </w:r>
      <w:r>
        <w:rPr>
          <w:rFonts w:hint="eastAsia"/>
          <w:sz w:val="28"/>
          <w:szCs w:val="28"/>
          <w:lang w:val="en-US" w:eastAsia="zh-CN"/>
        </w:rPr>
        <w:t>3</w:t>
      </w:r>
      <w:r>
        <w:rPr>
          <w:rFonts w:hint="eastAsia"/>
          <w:sz w:val="28"/>
          <w:szCs w:val="28"/>
        </w:rPr>
        <w:t>月</w:t>
      </w:r>
      <w:r>
        <w:rPr>
          <w:rFonts w:hint="eastAsia"/>
          <w:sz w:val="28"/>
          <w:szCs w:val="28"/>
          <w:lang w:val="en-US" w:eastAsia="zh-CN"/>
        </w:rPr>
        <w:t>7</w:t>
      </w:r>
      <w:r>
        <w:rPr>
          <w:rFonts w:hint="eastAsia"/>
          <w:sz w:val="28"/>
          <w:szCs w:val="28"/>
        </w:rPr>
        <w:t>日</w:t>
      </w:r>
      <w:r>
        <w:rPr>
          <w:rFonts w:hint="eastAsia"/>
          <w:sz w:val="28"/>
          <w:szCs w:val="28"/>
          <w:lang w:val="en-US" w:eastAsia="zh-CN"/>
        </w:rPr>
        <w:t>8</w:t>
      </w:r>
      <w:r>
        <w:rPr>
          <w:rFonts w:hint="eastAsia"/>
          <w:sz w:val="28"/>
          <w:szCs w:val="28"/>
        </w:rPr>
        <w:t>点—</w:t>
      </w:r>
      <w:r>
        <w:rPr>
          <w:rFonts w:hint="eastAsia"/>
          <w:sz w:val="28"/>
          <w:szCs w:val="28"/>
          <w:lang w:val="en-US" w:eastAsia="zh-CN"/>
        </w:rPr>
        <w:t>3</w:t>
      </w:r>
      <w:r>
        <w:rPr>
          <w:rFonts w:hint="eastAsia"/>
          <w:sz w:val="28"/>
          <w:szCs w:val="28"/>
        </w:rPr>
        <w:t>月</w:t>
      </w:r>
      <w:r>
        <w:rPr>
          <w:rFonts w:hint="eastAsia"/>
          <w:sz w:val="28"/>
          <w:szCs w:val="28"/>
          <w:lang w:val="en-US" w:eastAsia="zh-CN"/>
        </w:rPr>
        <w:t>9</w:t>
      </w:r>
      <w:r>
        <w:rPr>
          <w:rFonts w:hint="eastAsia"/>
          <w:sz w:val="28"/>
          <w:szCs w:val="28"/>
        </w:rPr>
        <w:t>日</w:t>
      </w:r>
      <w:r>
        <w:rPr>
          <w:rFonts w:hint="eastAsia"/>
          <w:sz w:val="28"/>
          <w:szCs w:val="28"/>
          <w:lang w:val="en-US" w:eastAsia="zh-CN"/>
        </w:rPr>
        <w:t>17</w:t>
      </w:r>
      <w:r>
        <w:rPr>
          <w:rFonts w:hint="eastAsia"/>
          <w:sz w:val="28"/>
          <w:szCs w:val="28"/>
        </w:rPr>
        <w:t xml:space="preserve">点登录报名系统 </w:t>
      </w:r>
      <w:r>
        <w:rPr>
          <w:rFonts w:hint="eastAsia"/>
          <w:sz w:val="28"/>
          <w:szCs w:val="28"/>
          <w:lang w:val="en-US" w:eastAsia="zh-CN"/>
        </w:rPr>
        <w:t>https://jw.tjrac.edu.cn/zsb，</w:t>
      </w:r>
      <w:r>
        <w:rPr>
          <w:rFonts w:hint="eastAsia"/>
          <w:sz w:val="28"/>
          <w:szCs w:val="28"/>
        </w:rPr>
        <w:t>点击“</w:t>
      </w:r>
      <w:r>
        <w:rPr>
          <w:rFonts w:hint="eastAsia"/>
          <w:sz w:val="28"/>
          <w:szCs w:val="28"/>
          <w:lang w:val="en-US" w:eastAsia="zh-CN"/>
        </w:rPr>
        <w:t>注册</w:t>
      </w:r>
      <w:r>
        <w:rPr>
          <w:rFonts w:hint="eastAsia"/>
          <w:sz w:val="28"/>
          <w:szCs w:val="28"/>
        </w:rPr>
        <w:t>”</w:t>
      </w:r>
      <w:r>
        <w:rPr>
          <w:rFonts w:hint="eastAsia"/>
          <w:sz w:val="28"/>
          <w:szCs w:val="28"/>
          <w:lang w:val="en-US" w:eastAsia="zh-CN"/>
        </w:rPr>
        <w:t>按钮</w:t>
      </w:r>
      <w:r>
        <w:rPr>
          <w:rFonts w:hint="eastAsia"/>
          <w:sz w:val="28"/>
          <w:szCs w:val="28"/>
        </w:rPr>
        <w:t>后进入报名登录界面，</w:t>
      </w:r>
      <w:r>
        <w:rPr>
          <w:rFonts w:hint="eastAsia"/>
          <w:sz w:val="28"/>
          <w:szCs w:val="28"/>
          <w:lang w:val="en-US" w:eastAsia="zh-CN"/>
        </w:rPr>
        <w:t>先请仔细阅读报考须知，然后关闭报考须知窗口，用手机号作为注册账号进行注册，</w:t>
      </w:r>
      <w:r>
        <w:rPr>
          <w:rFonts w:hint="eastAsia"/>
          <w:b/>
          <w:bCs/>
          <w:sz w:val="28"/>
          <w:szCs w:val="28"/>
          <w:lang w:val="en-US" w:eastAsia="zh-CN"/>
        </w:rPr>
        <w:t>请牢记用户名和密码</w:t>
      </w:r>
      <w:r>
        <w:rPr>
          <w:rFonts w:hint="eastAsia"/>
          <w:sz w:val="28"/>
          <w:szCs w:val="28"/>
        </w:rPr>
        <w:t>。</w:t>
      </w:r>
    </w:p>
    <w:p>
      <w:pPr>
        <w:widowControl/>
        <w:jc w:val="center"/>
        <w:rPr>
          <w:sz w:val="30"/>
          <w:szCs w:val="30"/>
        </w:rPr>
      </w:pPr>
      <w:r>
        <w:drawing>
          <wp:inline distT="0" distB="0" distL="114300" distR="114300">
            <wp:extent cx="4330700" cy="2797175"/>
            <wp:effectExtent l="0" t="0" r="1270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30700" cy="2797175"/>
                    </a:xfrm>
                    <a:prstGeom prst="rect">
                      <a:avLst/>
                    </a:prstGeom>
                    <a:noFill/>
                    <a:ln>
                      <a:noFill/>
                    </a:ln>
                  </pic:spPr>
                </pic:pic>
              </a:graphicData>
            </a:graphic>
          </wp:inline>
        </w:drawing>
      </w:r>
    </w:p>
    <w:p>
      <w:pPr>
        <w:widowControl/>
        <w:spacing w:line="440" w:lineRule="exact"/>
        <w:ind w:firstLine="420" w:firstLineChars="200"/>
        <w:jc w:val="left"/>
        <w:rPr>
          <w:rFonts w:hint="eastAsia"/>
          <w:b/>
          <w:sz w:val="30"/>
          <w:szCs w:val="30"/>
        </w:rPr>
      </w:pPr>
      <w:r>
        <w:drawing>
          <wp:anchor distT="0" distB="0" distL="114300" distR="114300" simplePos="0" relativeHeight="251659264" behindDoc="0" locked="0" layoutInCell="1" allowOverlap="1">
            <wp:simplePos x="0" y="0"/>
            <wp:positionH relativeFrom="column">
              <wp:posOffset>690880</wp:posOffset>
            </wp:positionH>
            <wp:positionV relativeFrom="paragraph">
              <wp:posOffset>105410</wp:posOffset>
            </wp:positionV>
            <wp:extent cx="4374515" cy="2721610"/>
            <wp:effectExtent l="0" t="0" r="6985" b="254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4374515" cy="2721610"/>
                    </a:xfrm>
                    <a:prstGeom prst="rect">
                      <a:avLst/>
                    </a:prstGeom>
                    <a:noFill/>
                    <a:ln>
                      <a:noFill/>
                    </a:ln>
                  </pic:spPr>
                </pic:pic>
              </a:graphicData>
            </a:graphic>
          </wp:anchor>
        </w:drawing>
      </w: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420" w:firstLineChars="200"/>
        <w:jc w:val="left"/>
        <w:rPr>
          <w:rFonts w:hint="eastAsia"/>
          <w:b/>
          <w:sz w:val="30"/>
          <w:szCs w:val="30"/>
        </w:rPr>
      </w:pPr>
      <w:r>
        <w:drawing>
          <wp:anchor distT="0" distB="0" distL="114300" distR="114300" simplePos="0" relativeHeight="251660288" behindDoc="0" locked="0" layoutInCell="1" allowOverlap="1">
            <wp:simplePos x="0" y="0"/>
            <wp:positionH relativeFrom="column">
              <wp:posOffset>149860</wp:posOffset>
            </wp:positionH>
            <wp:positionV relativeFrom="paragraph">
              <wp:posOffset>62230</wp:posOffset>
            </wp:positionV>
            <wp:extent cx="3982085" cy="2822575"/>
            <wp:effectExtent l="0" t="0" r="18415" b="1587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7"/>
                    <a:stretch>
                      <a:fillRect/>
                    </a:stretch>
                  </pic:blipFill>
                  <pic:spPr>
                    <a:xfrm>
                      <a:off x="0" y="0"/>
                      <a:ext cx="3982085" cy="2822575"/>
                    </a:xfrm>
                    <a:prstGeom prst="rect">
                      <a:avLst/>
                    </a:prstGeom>
                    <a:noFill/>
                    <a:ln>
                      <a:noFill/>
                    </a:ln>
                  </pic:spPr>
                </pic:pic>
              </a:graphicData>
            </a:graphic>
          </wp:anchor>
        </w:drawing>
      </w: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562" w:firstLineChars="200"/>
        <w:jc w:val="left"/>
        <w:rPr>
          <w:b/>
          <w:sz w:val="28"/>
          <w:szCs w:val="28"/>
        </w:rPr>
      </w:pPr>
      <w:r>
        <w:rPr>
          <w:rFonts w:hint="eastAsia"/>
          <w:b/>
          <w:sz w:val="28"/>
          <w:szCs w:val="28"/>
        </w:rPr>
        <w:t>2.</w:t>
      </w:r>
      <w:r>
        <w:rPr>
          <w:b/>
          <w:sz w:val="28"/>
          <w:szCs w:val="28"/>
        </w:rPr>
        <w:t xml:space="preserve"> </w:t>
      </w:r>
      <w:r>
        <w:rPr>
          <w:rFonts w:hint="eastAsia"/>
          <w:b/>
          <w:sz w:val="28"/>
          <w:szCs w:val="28"/>
        </w:rPr>
        <w:t>填报专业</w:t>
      </w:r>
    </w:p>
    <w:p>
      <w:pPr>
        <w:widowControl/>
        <w:spacing w:line="440" w:lineRule="exact"/>
        <w:ind w:firstLine="560" w:firstLineChars="200"/>
        <w:jc w:val="left"/>
        <w:rPr>
          <w:rFonts w:hint="default"/>
          <w:b w:val="0"/>
          <w:bCs w:val="0"/>
          <w:sz w:val="30"/>
          <w:szCs w:val="30"/>
          <w:lang w:val="en-US"/>
        </w:rPr>
      </w:pPr>
      <w:r>
        <w:rPr>
          <w:rFonts w:hint="eastAsia"/>
          <w:sz w:val="28"/>
          <w:szCs w:val="28"/>
        </w:rPr>
        <w:t>进入报名信息界面后，考生</w:t>
      </w:r>
      <w:r>
        <w:rPr>
          <w:rFonts w:hint="eastAsia"/>
          <w:sz w:val="28"/>
          <w:szCs w:val="28"/>
          <w:lang w:val="en-US" w:eastAsia="zh-CN"/>
        </w:rPr>
        <w:t>请填写本人的正确身份证号，报名系统会根据身份证号，</w:t>
      </w:r>
      <w:r>
        <w:rPr>
          <w:rFonts w:hint="eastAsia"/>
          <w:b/>
          <w:bCs/>
          <w:sz w:val="28"/>
          <w:szCs w:val="28"/>
          <w:lang w:val="en-US" w:eastAsia="zh-CN"/>
        </w:rPr>
        <w:t>自动提取</w:t>
      </w:r>
      <w:r>
        <w:rPr>
          <w:rFonts w:hint="eastAsia"/>
          <w:sz w:val="28"/>
          <w:szCs w:val="28"/>
          <w:lang w:val="en-US" w:eastAsia="zh-CN"/>
        </w:rPr>
        <w:t>考生在考试院官网高职升本科报名时，填写的</w:t>
      </w:r>
      <w:r>
        <w:rPr>
          <w:rFonts w:hint="eastAsia"/>
          <w:b/>
          <w:bCs/>
          <w:sz w:val="28"/>
          <w:szCs w:val="28"/>
          <w:lang w:val="en-US" w:eastAsia="zh-CN"/>
        </w:rPr>
        <w:t>考生号，姓名和报考专业，除此三项信息，考生须仔细填写其他各项信息。报考化学工程与工艺的考生要在所学专业处选择本人高职学习的专业（要与本人学信网认证材料一致）。</w:t>
      </w:r>
      <w:r>
        <w:rPr>
          <w:rFonts w:hint="eastAsia"/>
          <w:b w:val="0"/>
          <w:bCs w:val="0"/>
          <w:sz w:val="28"/>
          <w:szCs w:val="28"/>
          <w:lang w:val="en-US" w:eastAsia="zh-CN"/>
        </w:rPr>
        <w:t>填写好后请点击提交信息。</w:t>
      </w:r>
    </w:p>
    <w:p>
      <w:pPr>
        <w:widowControl/>
        <w:spacing w:line="440" w:lineRule="exact"/>
        <w:ind w:firstLine="420" w:firstLineChars="200"/>
        <w:jc w:val="left"/>
        <w:rPr>
          <w:rFonts w:hint="eastAsia"/>
          <w:sz w:val="30"/>
          <w:szCs w:val="30"/>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47625</wp:posOffset>
            </wp:positionV>
            <wp:extent cx="4625975" cy="3934460"/>
            <wp:effectExtent l="0" t="0" r="3175" b="889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4625975" cy="3934460"/>
                    </a:xfrm>
                    <a:prstGeom prst="rect">
                      <a:avLst/>
                    </a:prstGeom>
                    <a:noFill/>
                    <a:ln>
                      <a:noFill/>
                    </a:ln>
                  </pic:spPr>
                </pic:pic>
              </a:graphicData>
            </a:graphic>
          </wp:anchor>
        </w:drawing>
      </w: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numPr>
          <w:ilvl w:val="0"/>
          <w:numId w:val="1"/>
        </w:numPr>
        <w:jc w:val="both"/>
        <w:rPr>
          <w:rFonts w:hint="eastAsia"/>
          <w:b/>
          <w:bCs/>
          <w:sz w:val="30"/>
          <w:szCs w:val="30"/>
          <w:lang w:val="en-US" w:eastAsia="zh-CN"/>
        </w:rPr>
      </w:pPr>
      <w:r>
        <w:rPr>
          <w:rFonts w:hint="eastAsia"/>
          <w:b/>
          <w:bCs/>
          <w:sz w:val="30"/>
          <w:szCs w:val="30"/>
          <w:lang w:val="en-US" w:eastAsia="zh-CN"/>
        </w:rPr>
        <w:t>提交审核材料</w:t>
      </w:r>
    </w:p>
    <w:p>
      <w:pPr>
        <w:widowControl/>
        <w:spacing w:line="440" w:lineRule="exact"/>
        <w:ind w:firstLine="600" w:firstLineChars="200"/>
        <w:jc w:val="left"/>
        <w:rPr>
          <w:sz w:val="30"/>
          <w:szCs w:val="30"/>
        </w:rPr>
      </w:pPr>
      <w:r>
        <w:rPr>
          <w:rFonts w:hint="eastAsia"/>
          <w:b w:val="0"/>
          <w:bCs/>
          <w:sz w:val="30"/>
          <w:szCs w:val="30"/>
          <w:lang w:val="en-US" w:eastAsia="zh-CN"/>
        </w:rPr>
        <w:t>点击</w:t>
      </w:r>
      <w:r>
        <w:rPr>
          <w:rFonts w:hint="eastAsia"/>
          <w:b/>
          <w:bCs w:val="0"/>
          <w:sz w:val="30"/>
          <w:szCs w:val="30"/>
          <w:lang w:val="en-US" w:eastAsia="zh-CN"/>
        </w:rPr>
        <w:t>核验信息</w:t>
      </w:r>
      <w:r>
        <w:rPr>
          <w:rFonts w:hint="eastAsia"/>
          <w:b w:val="0"/>
          <w:bCs/>
          <w:sz w:val="30"/>
          <w:szCs w:val="30"/>
          <w:lang w:val="en-US" w:eastAsia="zh-CN"/>
        </w:rPr>
        <w:t>按钮提交材料，</w:t>
      </w:r>
      <w:r>
        <w:rPr>
          <w:rFonts w:hint="eastAsia"/>
          <w:sz w:val="30"/>
          <w:szCs w:val="30"/>
        </w:rPr>
        <w:t>如果报考专业</w:t>
      </w:r>
      <w:r>
        <w:rPr>
          <w:rFonts w:hint="eastAsia"/>
          <w:sz w:val="30"/>
          <w:szCs w:val="30"/>
          <w:lang w:val="en-US" w:eastAsia="zh-CN"/>
        </w:rPr>
        <w:t>化学工程与工艺或者报考考生为退役士兵</w:t>
      </w:r>
      <w:r>
        <w:rPr>
          <w:rFonts w:hint="eastAsia"/>
          <w:sz w:val="30"/>
          <w:szCs w:val="30"/>
        </w:rPr>
        <w:t>，应届生需要提交学籍在线认证报告，往届生需要提交学历证书电子注册备案表（认证样表及操作流程详见附件），提交的图片大小限制为</w:t>
      </w:r>
      <w:r>
        <w:rPr>
          <w:rFonts w:hint="eastAsia"/>
          <w:sz w:val="30"/>
          <w:szCs w:val="30"/>
          <w:lang w:val="en-US" w:eastAsia="zh-CN"/>
        </w:rPr>
        <w:t>2</w:t>
      </w:r>
      <w:r>
        <w:rPr>
          <w:rFonts w:hint="eastAsia"/>
          <w:sz w:val="30"/>
          <w:szCs w:val="30"/>
        </w:rPr>
        <w:t>M，格式仅支持jpg，</w:t>
      </w:r>
      <w:r>
        <w:rPr>
          <w:rFonts w:hint="eastAsia"/>
          <w:sz w:val="30"/>
          <w:szCs w:val="30"/>
          <w:lang w:val="en-US" w:eastAsia="zh-CN"/>
        </w:rPr>
        <w:t>没上传一个材料后，点击</w:t>
      </w:r>
      <w:r>
        <w:rPr>
          <w:rFonts w:hint="eastAsia"/>
          <w:b/>
          <w:bCs/>
          <w:sz w:val="30"/>
          <w:szCs w:val="30"/>
          <w:lang w:val="en-US" w:eastAsia="zh-CN"/>
        </w:rPr>
        <w:t>上传按钮</w:t>
      </w:r>
      <w:r>
        <w:rPr>
          <w:rFonts w:hint="eastAsia"/>
          <w:sz w:val="30"/>
          <w:szCs w:val="30"/>
        </w:rPr>
        <w:t>。</w:t>
      </w:r>
    </w:p>
    <w:p>
      <w:pPr>
        <w:widowControl/>
        <w:jc w:val="center"/>
        <w:rPr>
          <w:b/>
          <w:sz w:val="30"/>
          <w:szCs w:val="30"/>
        </w:rPr>
      </w:pPr>
      <w:r>
        <w:drawing>
          <wp:inline distT="0" distB="0" distL="114300" distR="114300">
            <wp:extent cx="5609590" cy="4491990"/>
            <wp:effectExtent l="0" t="0" r="10160" b="381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9"/>
                    <a:stretch>
                      <a:fillRect/>
                    </a:stretch>
                  </pic:blipFill>
                  <pic:spPr>
                    <a:xfrm>
                      <a:off x="0" y="0"/>
                      <a:ext cx="5609590" cy="4491990"/>
                    </a:xfrm>
                    <a:prstGeom prst="rect">
                      <a:avLst/>
                    </a:prstGeom>
                    <a:noFill/>
                    <a:ln>
                      <a:noFill/>
                    </a:ln>
                  </pic:spPr>
                </pic:pic>
              </a:graphicData>
            </a:graphic>
          </wp:inline>
        </w:drawing>
      </w:r>
    </w:p>
    <w:p>
      <w:pPr>
        <w:widowControl/>
        <w:spacing w:line="440" w:lineRule="exact"/>
        <w:ind w:firstLine="602" w:firstLineChars="200"/>
        <w:jc w:val="left"/>
        <w:rPr>
          <w:b/>
          <w:sz w:val="30"/>
          <w:szCs w:val="30"/>
        </w:rPr>
      </w:pPr>
      <w:r>
        <w:rPr>
          <w:rFonts w:hint="eastAsia"/>
          <w:b/>
          <w:sz w:val="30"/>
          <w:szCs w:val="30"/>
        </w:rPr>
        <w:t>4</w:t>
      </w:r>
      <w:r>
        <w:rPr>
          <w:b/>
          <w:sz w:val="30"/>
          <w:szCs w:val="30"/>
        </w:rPr>
        <w:t>.</w:t>
      </w:r>
      <w:r>
        <w:rPr>
          <w:rFonts w:hint="eastAsia"/>
          <w:b/>
          <w:sz w:val="30"/>
          <w:szCs w:val="30"/>
        </w:rPr>
        <w:t>修改密码</w:t>
      </w:r>
    </w:p>
    <w:p>
      <w:pPr>
        <w:widowControl/>
        <w:spacing w:line="440" w:lineRule="exact"/>
        <w:ind w:firstLine="600" w:firstLineChars="200"/>
        <w:jc w:val="left"/>
        <w:rPr>
          <w:sz w:val="30"/>
          <w:szCs w:val="30"/>
        </w:rPr>
      </w:pPr>
      <w:r>
        <w:rPr>
          <w:rFonts w:hint="eastAsia"/>
          <w:sz w:val="30"/>
          <w:szCs w:val="30"/>
        </w:rPr>
        <w:t>报名成功后建议考生</w:t>
      </w:r>
      <w:r>
        <w:rPr>
          <w:rFonts w:hint="eastAsia"/>
          <w:sz w:val="30"/>
          <w:szCs w:val="30"/>
          <w:lang w:val="en-US" w:eastAsia="zh-CN"/>
        </w:rPr>
        <w:t>如需修改密码，请点击修改密码按钮，</w:t>
      </w:r>
      <w:r>
        <w:rPr>
          <w:rFonts w:hint="eastAsia"/>
          <w:sz w:val="30"/>
          <w:szCs w:val="30"/>
        </w:rPr>
        <w:t>进入修改页面对密码进行修改，修改完成后请妥善保管密码。</w:t>
      </w:r>
    </w:p>
    <w:p>
      <w:pPr>
        <w:widowControl/>
        <w:jc w:val="center"/>
        <w:rPr>
          <w:sz w:val="30"/>
          <w:szCs w:val="30"/>
        </w:rPr>
      </w:pPr>
    </w:p>
    <w:p>
      <w:pPr>
        <w:widowControl/>
        <w:jc w:val="center"/>
        <w:rPr>
          <w:sz w:val="30"/>
          <w:szCs w:val="30"/>
        </w:rPr>
      </w:pPr>
    </w:p>
    <w:p>
      <w:pPr>
        <w:widowControl/>
        <w:jc w:val="center"/>
        <w:rPr>
          <w:sz w:val="30"/>
          <w:szCs w:val="30"/>
        </w:rPr>
      </w:pPr>
    </w:p>
    <w:p>
      <w:pPr>
        <w:widowControl/>
        <w:jc w:val="center"/>
        <w:rPr>
          <w:sz w:val="30"/>
          <w:szCs w:val="30"/>
        </w:rPr>
      </w:pPr>
    </w:p>
    <w:p>
      <w:pPr>
        <w:widowControl/>
        <w:numPr>
          <w:ilvl w:val="0"/>
          <w:numId w:val="2"/>
        </w:numPr>
        <w:ind w:left="600" w:leftChars="0" w:firstLine="0" w:firstLineChars="0"/>
        <w:jc w:val="left"/>
        <w:rPr>
          <w:rFonts w:hint="eastAsia"/>
          <w:b/>
          <w:sz w:val="30"/>
          <w:szCs w:val="30"/>
        </w:rPr>
      </w:pPr>
      <w:r>
        <w:rPr>
          <w:rFonts w:hint="eastAsia"/>
          <w:b/>
          <w:sz w:val="30"/>
          <w:szCs w:val="30"/>
        </w:rPr>
        <w:t>确认及缴费流程</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2022年</w:t>
      </w:r>
      <w:r>
        <w:rPr>
          <w:rFonts w:hint="eastAsia"/>
          <w:sz w:val="28"/>
          <w:szCs w:val="28"/>
          <w:lang w:val="en-US" w:eastAsia="zh-CN"/>
        </w:rPr>
        <w:t>天津仁爱学院</w:t>
      </w:r>
      <w:r>
        <w:rPr>
          <w:rFonts w:hint="eastAsia"/>
          <w:sz w:val="28"/>
          <w:szCs w:val="28"/>
        </w:rPr>
        <w:t>高职升本</w:t>
      </w:r>
      <w:r>
        <w:rPr>
          <w:rFonts w:hint="eastAsia"/>
          <w:sz w:val="28"/>
          <w:szCs w:val="28"/>
          <w:lang w:val="en-US" w:eastAsia="zh-CN"/>
        </w:rPr>
        <w:t>科</w:t>
      </w:r>
      <w:r>
        <w:rPr>
          <w:rFonts w:hint="eastAsia"/>
          <w:sz w:val="28"/>
          <w:szCs w:val="28"/>
        </w:rPr>
        <w:t>考试考务费微信公众号缴费时间为：2022年3月12日至1</w:t>
      </w:r>
      <w:r>
        <w:rPr>
          <w:rFonts w:hint="eastAsia"/>
          <w:sz w:val="28"/>
          <w:szCs w:val="28"/>
          <w:lang w:val="en-US" w:eastAsia="zh-CN"/>
        </w:rPr>
        <w:t>4</w:t>
      </w:r>
      <w:r>
        <w:rPr>
          <w:rFonts w:hint="eastAsia"/>
          <w:sz w:val="28"/>
          <w:szCs w:val="28"/>
        </w:rPr>
        <w:t>日，请及时完成缴费。</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b/>
          <w:bCs/>
          <w:sz w:val="28"/>
          <w:szCs w:val="28"/>
        </w:rPr>
      </w:pPr>
      <w:r>
        <w:rPr>
          <w:rFonts w:hint="eastAsia"/>
          <w:b/>
          <w:bCs/>
          <w:sz w:val="28"/>
          <w:szCs w:val="28"/>
        </w:rPr>
        <w:t>缴费步骤:</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b/>
          <w:bCs/>
          <w:sz w:val="28"/>
          <w:szCs w:val="28"/>
        </w:rPr>
      </w:pPr>
      <w:r>
        <w:rPr>
          <w:b/>
          <w:bCs/>
          <w:sz w:val="28"/>
          <w:szCs w:val="28"/>
        </w:rPr>
        <w:t>第1步：关注微信公众号</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sz w:val="28"/>
          <w:szCs w:val="28"/>
        </w:rPr>
      </w:pPr>
      <w:r>
        <w:rPr>
          <w:sz w:val="28"/>
          <w:szCs w:val="28"/>
        </w:rPr>
        <w:t>打开微信，扫一扫下方二维码，关注“天津仁爱学院财务处”微信公众号。点击“办业务--业务办理”进入。</w:t>
      </w:r>
    </w:p>
    <w:p>
      <w:pPr>
        <w:pStyle w:val="4"/>
        <w:widowControl/>
        <w:spacing w:beforeAutospacing="0" w:afterAutospacing="0" w:line="368" w:lineRule="atLeast"/>
        <w:jc w:val="both"/>
      </w:pPr>
    </w:p>
    <w:p>
      <w:pPr>
        <w:pStyle w:val="4"/>
        <w:widowControl/>
        <w:spacing w:beforeAutospacing="0" w:afterAutospacing="0"/>
        <w:jc w:val="both"/>
      </w:pPr>
      <w:r>
        <w:rPr>
          <w:rFonts w:ascii="宋体" w:hAnsi="宋体" w:eastAsia="宋体" w:cs="宋体"/>
        </w:rPr>
        <w:drawing>
          <wp:inline distT="0" distB="0" distL="0" distR="0">
            <wp:extent cx="2571750" cy="2571750"/>
            <wp:effectExtent l="0" t="0" r="0" b="0"/>
            <wp:docPr id="17" name="图片 17" descr="C:\Users\dell\Desktop\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dell\Desktop\0_副本.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71750" cy="2571750"/>
                    </a:xfrm>
                    <a:prstGeom prst="rect">
                      <a:avLst/>
                    </a:prstGeom>
                    <a:noFill/>
                    <a:ln>
                      <a:noFill/>
                    </a:ln>
                  </pic:spPr>
                </pic:pic>
              </a:graphicData>
            </a:graphic>
          </wp:inline>
        </w:drawing>
      </w:r>
      <w:r>
        <w:rPr>
          <w:rFonts w:hint="eastAsia"/>
        </w:rPr>
        <w:t xml:space="preserve"> </w:t>
      </w:r>
      <w:r>
        <w:rPr>
          <w:rFonts w:ascii="宋体" w:hAnsi="宋体" w:eastAsia="宋体" w:cs="宋体"/>
        </w:rPr>
        <w:drawing>
          <wp:inline distT="0" distB="0" distL="0" distR="0">
            <wp:extent cx="2590800" cy="2590800"/>
            <wp:effectExtent l="0" t="0" r="0" b="0"/>
            <wp:docPr id="11" name="图片 11" descr="C:\Users\dell\Desktop\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Desktop\1_副本.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0" cy="2590800"/>
                    </a:xfrm>
                    <a:prstGeom prst="rect">
                      <a:avLst/>
                    </a:prstGeom>
                    <a:noFill/>
                    <a:ln>
                      <a:noFill/>
                    </a:ln>
                  </pic:spPr>
                </pic:pic>
              </a:graphicData>
            </a:graphic>
          </wp:inline>
        </w:drawing>
      </w:r>
    </w:p>
    <w:p>
      <w:pPr>
        <w:pStyle w:val="4"/>
        <w:widowControl/>
        <w:shd w:val="clear" w:color="auto" w:fill="FFFFFF"/>
        <w:spacing w:beforeAutospacing="0" w:afterAutospacing="0"/>
        <w:rPr>
          <w:rFonts w:ascii="微软雅黑" w:hAnsi="微软雅黑" w:eastAsia="微软雅黑" w:cs="微软雅黑"/>
          <w:color w:val="333333"/>
          <w:spacing w:val="8"/>
          <w:sz w:val="25"/>
          <w:szCs w:val="25"/>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b/>
          <w:bCs/>
          <w:sz w:val="28"/>
          <w:szCs w:val="28"/>
        </w:rPr>
      </w:pPr>
      <w:r>
        <w:rPr>
          <w:b/>
          <w:bCs/>
          <w:sz w:val="28"/>
          <w:szCs w:val="28"/>
        </w:rPr>
        <w:t>第2步：登录</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首次进入需要用户绑定，输入账号、密码、验证码。账号为“</w:t>
      </w:r>
      <w:r>
        <w:rPr>
          <w:rFonts w:hint="eastAsia"/>
          <w:b/>
          <w:bCs/>
          <w:sz w:val="28"/>
          <w:szCs w:val="28"/>
        </w:rPr>
        <w:t>考生号</w:t>
      </w:r>
      <w:r>
        <w:rPr>
          <w:sz w:val="28"/>
          <w:szCs w:val="28"/>
        </w:rPr>
        <w:t>”，密码为“</w:t>
      </w:r>
      <w:r>
        <w:rPr>
          <w:rFonts w:hint="eastAsia"/>
          <w:sz w:val="28"/>
          <w:szCs w:val="28"/>
        </w:rPr>
        <w:t xml:space="preserve"> </w:t>
      </w:r>
      <w:r>
        <w:rPr>
          <w:b/>
          <w:sz w:val="28"/>
          <w:szCs w:val="28"/>
        </w:rPr>
        <w:t>TJrac+</w:t>
      </w:r>
      <w:r>
        <w:rPr>
          <w:rFonts w:asciiTheme="minorEastAsia" w:hAnsiTheme="minorEastAsia"/>
          <w:b/>
          <w:sz w:val="28"/>
          <w:szCs w:val="28"/>
        </w:rPr>
        <w:t>身份证号后六位</w:t>
      </w:r>
      <w:r>
        <w:rPr>
          <w:sz w:val="28"/>
          <w:szCs w:val="28"/>
        </w:rPr>
        <w:t>”，</w:t>
      </w:r>
      <w:r>
        <w:rPr>
          <w:rFonts w:hint="eastAsia"/>
          <w:sz w:val="28"/>
          <w:szCs w:val="28"/>
        </w:rPr>
        <w:t>身份证号</w:t>
      </w:r>
      <w:r>
        <w:rPr>
          <w:sz w:val="28"/>
          <w:szCs w:val="28"/>
        </w:rPr>
        <w:t>末位为“X”的以大写英文字母“X”表示。登录成功后，会显示“当前欠费金额”。</w:t>
      </w:r>
    </w:p>
    <w:p>
      <w:pPr>
        <w:pStyle w:val="4"/>
        <w:widowControl/>
        <w:spacing w:beforeAutospacing="0" w:afterAutospacing="0"/>
        <w:rPr>
          <w:sz w:val="28"/>
          <w:szCs w:val="28"/>
        </w:rPr>
      </w:pPr>
    </w:p>
    <w:p>
      <w:pPr>
        <w:widowControl/>
        <w:jc w:val="left"/>
      </w:pPr>
      <w:r>
        <w:rPr>
          <w:rFonts w:ascii="宋体" w:hAnsi="宋体" w:eastAsia="宋体" w:cs="宋体"/>
          <w:kern w:val="0"/>
          <w:sz w:val="24"/>
        </w:rPr>
        <w:drawing>
          <wp:inline distT="0" distB="0" distL="0" distR="0">
            <wp:extent cx="2581275" cy="2581275"/>
            <wp:effectExtent l="0" t="0" r="9525" b="9525"/>
            <wp:docPr id="18" name="图片 18" descr="C:\Users\dell\Desktop\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dell\Desktop\2_副本.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81275" cy="2581275"/>
                    </a:xfrm>
                    <a:prstGeom prst="rect">
                      <a:avLst/>
                    </a:prstGeom>
                    <a:noFill/>
                    <a:ln>
                      <a:noFill/>
                    </a:ln>
                  </pic:spPr>
                </pic:pic>
              </a:graphicData>
            </a:graphic>
          </wp:inline>
        </w:drawing>
      </w:r>
      <w:r>
        <w:rPr>
          <w:rFonts w:hint="eastAsia"/>
        </w:rPr>
        <w:t xml:space="preserve"> </w:t>
      </w:r>
      <w:r>
        <w:rPr>
          <w:rFonts w:ascii="宋体" w:hAnsi="宋体" w:eastAsia="宋体" w:cs="宋体"/>
          <w:kern w:val="0"/>
          <w:sz w:val="24"/>
        </w:rPr>
        <w:drawing>
          <wp:inline distT="0" distB="0" distL="0" distR="0">
            <wp:extent cx="2581275" cy="2581275"/>
            <wp:effectExtent l="0" t="0" r="9525" b="9525"/>
            <wp:docPr id="19" name="图片 19" descr="C:\Users\dell\Desktop\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dell\Desktop\3_副本.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81275" cy="2581275"/>
                    </a:xfrm>
                    <a:prstGeom prst="rect">
                      <a:avLst/>
                    </a:prstGeom>
                    <a:noFill/>
                    <a:ln>
                      <a:noFill/>
                    </a:ln>
                  </pic:spPr>
                </pic:pic>
              </a:graphicData>
            </a:graphic>
          </wp:inline>
        </w:drawing>
      </w:r>
    </w:p>
    <w:p>
      <w:pPr>
        <w:pStyle w:val="4"/>
        <w:widowControl/>
        <w:spacing w:beforeAutospacing="0" w:afterAutospacing="0"/>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b/>
          <w:bCs/>
          <w:sz w:val="28"/>
          <w:szCs w:val="28"/>
        </w:rPr>
      </w:pPr>
      <w:r>
        <w:rPr>
          <w:b/>
          <w:bCs/>
          <w:sz w:val="28"/>
          <w:szCs w:val="28"/>
        </w:rPr>
        <w:t>第3步：缴费</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点击“学生缴费”，可查看到应缴的费用明细，缴费金额确认无误后，点击“支付”。界面会跳转至“确认订单”界面，核对无误后，请勾选“我已确认身份信息”，点击“立即支付”。</w:t>
      </w:r>
    </w:p>
    <w:p>
      <w:pPr>
        <w:pStyle w:val="4"/>
        <w:widowControl/>
        <w:spacing w:beforeAutospacing="0" w:afterAutospacing="0"/>
        <w:rPr>
          <w:sz w:val="28"/>
          <w:szCs w:val="28"/>
        </w:rPr>
      </w:pPr>
    </w:p>
    <w:p>
      <w:pPr>
        <w:widowControl/>
        <w:jc w:val="left"/>
      </w:pPr>
      <w:r>
        <w:rPr>
          <w:rFonts w:ascii="宋体" w:hAnsi="宋体" w:eastAsia="宋体" w:cs="宋体"/>
          <w:kern w:val="0"/>
          <w:sz w:val="24"/>
        </w:rPr>
        <w:drawing>
          <wp:inline distT="0" distB="0" distL="0" distR="0">
            <wp:extent cx="2590800" cy="5142230"/>
            <wp:effectExtent l="0" t="0" r="0" b="1270"/>
            <wp:docPr id="20" name="图片 20" descr="C:\Users\dell\Desktop\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dell\Desktop\4_副本.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90800" cy="5142850"/>
                    </a:xfrm>
                    <a:prstGeom prst="rect">
                      <a:avLst/>
                    </a:prstGeom>
                    <a:noFill/>
                    <a:ln>
                      <a:noFill/>
                    </a:ln>
                  </pic:spPr>
                </pic:pic>
              </a:graphicData>
            </a:graphic>
          </wp:inline>
        </w:drawing>
      </w:r>
      <w:r>
        <w:rPr>
          <w:rFonts w:hint="eastAsia"/>
        </w:rPr>
        <w:t xml:space="preserve"> </w:t>
      </w:r>
      <w:r>
        <w:rPr>
          <w:rFonts w:ascii="宋体" w:hAnsi="宋体" w:eastAsia="宋体" w:cs="宋体"/>
          <w:kern w:val="0"/>
          <w:sz w:val="24"/>
        </w:rPr>
        <w:drawing>
          <wp:inline distT="0" distB="0" distL="0" distR="0">
            <wp:extent cx="2590800" cy="5143500"/>
            <wp:effectExtent l="0" t="0" r="0" b="0"/>
            <wp:docPr id="21" name="图片 21" descr="C:\Users\dell\Desktop\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dell\Desktop\5_副本.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91128" cy="5143500"/>
                    </a:xfrm>
                    <a:prstGeom prst="rect">
                      <a:avLst/>
                    </a:prstGeom>
                    <a:noFill/>
                    <a:ln>
                      <a:noFill/>
                    </a:ln>
                  </pic:spPr>
                </pic:pic>
              </a:graphicData>
            </a:graphic>
          </wp:inline>
        </w:drawing>
      </w:r>
    </w:p>
    <w:p>
      <w:pPr>
        <w:pStyle w:val="4"/>
        <w:widowControl/>
        <w:spacing w:beforeAutospacing="0" w:afterAutospacing="0"/>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b/>
          <w:bCs/>
          <w:sz w:val="28"/>
          <w:szCs w:val="28"/>
        </w:rPr>
      </w:pPr>
      <w:r>
        <w:rPr>
          <w:rFonts w:hint="eastAsia"/>
          <w:b/>
          <w:bCs/>
          <w:sz w:val="28"/>
          <w:szCs w:val="28"/>
          <w:lang w:val="en-US" w:eastAsia="zh-CN"/>
        </w:rPr>
        <w:t>温馨</w:t>
      </w:r>
      <w:r>
        <w:rPr>
          <w:b/>
          <w:bCs/>
          <w:sz w:val="28"/>
          <w:szCs w:val="28"/>
        </w:rPr>
        <w:t>提示</w:t>
      </w:r>
      <w:r>
        <w:rPr>
          <w:rFonts w:hint="eastAsia"/>
          <w:b/>
          <w:bCs/>
          <w:sz w:val="28"/>
          <w:szCs w:val="28"/>
        </w:rPr>
        <w:t>：</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如学生缴费页面不显示“支付”按钮，是手机字体较大导致，请点击微信“我-设置-通用-字体大小”缩小字体大小。</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如学生缴费页面不能正常显示，请关闭WIFI或更换手机尝试。</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sz w:val="28"/>
          <w:szCs w:val="28"/>
        </w:rPr>
      </w:pPr>
      <w:r>
        <w:rPr>
          <w:rFonts w:hint="eastAsia"/>
          <w:sz w:val="28"/>
          <w:szCs w:val="28"/>
        </w:rPr>
        <w:t>如在缴费过程中遇到问题，请在微信公众号中留言。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ascii="微软雅黑" w:hAnsi="微软雅黑" w:eastAsia="微软雅黑" w:cs="微软雅黑"/>
          <w:color w:val="333333"/>
          <w:spacing w:val="23"/>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ascii="微软雅黑" w:hAnsi="微软雅黑" w:eastAsia="微软雅黑" w:cs="微软雅黑"/>
          <w:color w:val="333333"/>
          <w:spacing w:val="23"/>
          <w:sz w:val="28"/>
          <w:szCs w:val="28"/>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0"/>
        <w:textAlignment w:val="auto"/>
        <w:rPr>
          <w:rFonts w:hint="eastAsia"/>
          <w:b/>
          <w:bCs/>
          <w:sz w:val="28"/>
          <w:szCs w:val="28"/>
        </w:rPr>
      </w:pPr>
      <w:r>
        <w:rPr>
          <w:rFonts w:hint="eastAsia"/>
          <w:b/>
          <w:bCs/>
          <w:sz w:val="28"/>
          <w:szCs w:val="28"/>
        </w:rPr>
        <w:t>第4步：查询</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缴费成功后，返回主界面可以看到“当前欠费金额为0”</w:t>
      </w:r>
      <w:r>
        <w:rPr>
          <w:rFonts w:hint="eastAsia"/>
          <w:sz w:val="28"/>
          <w:szCs w:val="28"/>
        </w:rPr>
        <w:t>表示已缴费成功</w:t>
      </w:r>
      <w:r>
        <w:rPr>
          <w:sz w:val="28"/>
          <w:szCs w:val="28"/>
        </w:rPr>
        <w:t>。点击“订单查询”，可查看缴费明细。</w:t>
      </w:r>
    </w:p>
    <w:p>
      <w:pPr>
        <w:pStyle w:val="4"/>
        <w:widowControl/>
        <w:spacing w:beforeAutospacing="0" w:afterAutospacing="0"/>
      </w:pPr>
    </w:p>
    <w:p>
      <w:pPr>
        <w:widowControl/>
        <w:jc w:val="left"/>
      </w:pPr>
      <w:r>
        <w:rPr>
          <w:rFonts w:ascii="宋体" w:hAnsi="宋体" w:eastAsia="宋体" w:cs="宋体"/>
          <w:kern w:val="0"/>
          <w:sz w:val="24"/>
        </w:rPr>
        <w:drawing>
          <wp:inline distT="0" distB="0" distL="114300" distR="114300">
            <wp:extent cx="2600325" cy="2600325"/>
            <wp:effectExtent l="0" t="0" r="9525" b="9525"/>
            <wp:docPr id="1" name="图片 10" descr="公众号11_副本.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公众号11_副本.bmp"/>
                    <pic:cNvPicPr>
                      <a:picLocks noChangeAspect="1"/>
                    </pic:cNvPicPr>
                  </pic:nvPicPr>
                  <pic:blipFill>
                    <a:blip r:embed="rId16"/>
                    <a:stretch>
                      <a:fillRect/>
                    </a:stretch>
                  </pic:blipFill>
                  <pic:spPr>
                    <a:xfrm>
                      <a:off x="0" y="0"/>
                      <a:ext cx="2601016" cy="2601016"/>
                    </a:xfrm>
                    <a:prstGeom prst="rect">
                      <a:avLst/>
                    </a:prstGeom>
                    <a:noFill/>
                    <a:ln w="9525">
                      <a:noFill/>
                    </a:ln>
                  </pic:spPr>
                </pic:pic>
              </a:graphicData>
            </a:graphic>
          </wp:inline>
        </w:drawing>
      </w:r>
      <w:bookmarkStart w:id="0" w:name="_GoBack"/>
      <w:r>
        <w:rPr>
          <w:rFonts w:ascii="宋体" w:hAnsi="宋体" w:eastAsia="宋体" w:cs="宋体"/>
          <w:kern w:val="0"/>
          <w:sz w:val="24"/>
        </w:rPr>
        <w:drawing>
          <wp:inline distT="0" distB="0" distL="114300" distR="114300">
            <wp:extent cx="2600325" cy="2600325"/>
            <wp:effectExtent l="0" t="0" r="9525" b="9525"/>
            <wp:docPr id="22" name="图片 9" descr="公众号10_副本.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公众号10_副本.bmp"/>
                    <pic:cNvPicPr>
                      <a:picLocks noChangeAspect="1"/>
                    </pic:cNvPicPr>
                  </pic:nvPicPr>
                  <pic:blipFill>
                    <a:blip r:embed="rId17"/>
                    <a:stretch>
                      <a:fillRect/>
                    </a:stretch>
                  </pic:blipFill>
                  <pic:spPr>
                    <a:xfrm>
                      <a:off x="0" y="0"/>
                      <a:ext cx="2601038" cy="2601038"/>
                    </a:xfrm>
                    <a:prstGeom prst="rect">
                      <a:avLst/>
                    </a:prstGeom>
                    <a:noFill/>
                    <a:ln w="9525">
                      <a:noFill/>
                    </a:ln>
                  </pic:spPr>
                </pic:pic>
              </a:graphicData>
            </a:graphic>
          </wp:inline>
        </w:drawing>
      </w:r>
      <w:bookmarkEnd w:id="0"/>
    </w:p>
    <w:p>
      <w:pPr>
        <w:rPr>
          <w:sz w:val="24"/>
        </w:rPr>
      </w:pPr>
    </w:p>
    <w:p>
      <w:pPr>
        <w:widowControl/>
        <w:numPr>
          <w:numId w:val="0"/>
        </w:numPr>
        <w:ind w:left="600" w:leftChars="0"/>
        <w:jc w:val="left"/>
        <w:rPr>
          <w:rFonts w:hint="eastAsia"/>
          <w:b/>
          <w:sz w:val="30"/>
          <w:szCs w:val="30"/>
        </w:rPr>
      </w:pPr>
    </w:p>
    <w:sectPr>
      <w:footerReference r:id="rId3" w:type="default"/>
      <w:pgSz w:w="11906" w:h="16838"/>
      <w:pgMar w:top="1440" w:right="1417" w:bottom="1440" w:left="1417" w:header="851" w:footer="90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534489"/>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01B63"/>
    <w:multiLevelType w:val="singleLevel"/>
    <w:tmpl w:val="94401B63"/>
    <w:lvl w:ilvl="0" w:tentative="0">
      <w:start w:val="2"/>
      <w:numFmt w:val="chineseCounting"/>
      <w:suff w:val="nothing"/>
      <w:lvlText w:val="%1、"/>
      <w:lvlJc w:val="left"/>
      <w:pPr>
        <w:ind w:left="600" w:leftChars="0" w:firstLine="0" w:firstLineChars="0"/>
      </w:pPr>
      <w:rPr>
        <w:rFonts w:hint="eastAsia"/>
      </w:rPr>
    </w:lvl>
  </w:abstractNum>
  <w:abstractNum w:abstractNumId="1">
    <w:nsid w:val="98FEC8F1"/>
    <w:multiLevelType w:val="singleLevel"/>
    <w:tmpl w:val="98FEC8F1"/>
    <w:lvl w:ilvl="0" w:tentative="0">
      <w:start w:val="3"/>
      <w:numFmt w:val="decimal"/>
      <w:lvlText w:val="%1."/>
      <w:lvlJc w:val="left"/>
      <w:pPr>
        <w:tabs>
          <w:tab w:val="left" w:pos="312"/>
        </w:tabs>
      </w:pPr>
    </w:lvl>
  </w:abstractNum>
  <w:abstractNum w:abstractNumId="2">
    <w:nsid w:val="5AD32CBD"/>
    <w:multiLevelType w:val="multilevel"/>
    <w:tmpl w:val="5AD32C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E"/>
    <w:rsid w:val="00045969"/>
    <w:rsid w:val="000D590D"/>
    <w:rsid w:val="001459C9"/>
    <w:rsid w:val="001476EE"/>
    <w:rsid w:val="00162163"/>
    <w:rsid w:val="001819EC"/>
    <w:rsid w:val="00717631"/>
    <w:rsid w:val="00744C47"/>
    <w:rsid w:val="007958EF"/>
    <w:rsid w:val="008500CA"/>
    <w:rsid w:val="00924396"/>
    <w:rsid w:val="0096787E"/>
    <w:rsid w:val="00BC091D"/>
    <w:rsid w:val="00C01428"/>
    <w:rsid w:val="00CF3FB9"/>
    <w:rsid w:val="00D73F81"/>
    <w:rsid w:val="00E52DCE"/>
    <w:rsid w:val="00E56AB7"/>
    <w:rsid w:val="00E80285"/>
    <w:rsid w:val="00EA131F"/>
    <w:rsid w:val="00ED01BE"/>
    <w:rsid w:val="00EE3854"/>
    <w:rsid w:val="1DBD4091"/>
    <w:rsid w:val="1E9C6C7B"/>
    <w:rsid w:val="1ED541CC"/>
    <w:rsid w:val="3C6557BA"/>
    <w:rsid w:val="49DC1054"/>
    <w:rsid w:val="686879FE"/>
    <w:rsid w:val="6CB45097"/>
    <w:rsid w:val="7EBC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TJAU</Company>
  <Pages>5</Pages>
  <Words>145</Words>
  <Characters>830</Characters>
  <Lines>6</Lines>
  <Paragraphs>1</Paragraphs>
  <TotalTime>2</TotalTime>
  <ScaleCrop>false</ScaleCrop>
  <LinksUpToDate>false</LinksUpToDate>
  <CharactersWithSpaces>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2022-01-04T01:51:00Z</dcterms:created>
  <dc:creator>redstar</dc:creator>
  <cp:lastModifiedBy>一滴水</cp:lastModifiedBy>
  <dcterms:modified xsi:type="dcterms:W3CDTF">2022-03-03T10:58:04Z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62520A8491044F17B45C6AAC7F8E65D5</vt:lpwstr>
  </property>
</Properties>
</file>